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tabs>
          <w:tab w:val="clear" w:pos="4252"/>
          <w:tab w:val="clear" w:pos="8504"/>
        </w:tabs>
        <w:ind w:left="1134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914400" cy="6299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28"/>
          <w:szCs w:val="28"/>
          <w:lang w:eastAsia="pt-BR"/>
        </w:rPr>
      </w:pPr>
      <w:r>
        <w:rPr>
          <w:rFonts w:cs="Calibri"/>
          <w:b/>
          <w:bCs/>
          <w:sz w:val="28"/>
          <w:szCs w:val="28"/>
          <w:lang w:eastAsia="pt-BR"/>
        </w:rPr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32"/>
          <w:szCs w:val="32"/>
          <w:lang w:eastAsia="pt-BR"/>
        </w:rPr>
      </w:pPr>
      <w:r>
        <w:rPr>
          <w:rFonts w:cs="Calibri"/>
          <w:b/>
          <w:bCs/>
          <w:sz w:val="32"/>
          <w:szCs w:val="32"/>
          <w:lang w:eastAsia="pt-BR"/>
        </w:rPr>
        <w:t>CÂMARA MUNICIPAL DE CAÇAPAVA</w:t>
      </w:r>
    </w:p>
    <w:p>
      <w:pPr>
        <w:pStyle w:val="Cabealho"/>
        <w:jc w:val="center"/>
        <w:rPr>
          <w:rFonts w:cs="Calibri"/>
          <w:sz w:val="16"/>
          <w:szCs w:val="16"/>
          <w:lang w:eastAsia="pt-BR"/>
        </w:rPr>
      </w:pPr>
      <w:r>
        <w:rPr>
          <w:rFonts w:cs="Calibri"/>
          <w:sz w:val="16"/>
          <w:szCs w:val="16"/>
          <w:lang w:eastAsia="pt-BR"/>
        </w:rPr>
        <w:t>CIDADE SIMPATIA – ESTADO DE SÃO PAULO</w:t>
      </w:r>
    </w:p>
    <w:p>
      <w:pPr>
        <w:pStyle w:val="Corpodotexto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2423795</wp:posOffset>
            </wp:positionH>
            <wp:positionV relativeFrom="paragraph">
              <wp:posOffset>55880</wp:posOffset>
            </wp:positionV>
            <wp:extent cx="552450" cy="11430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bookmarkStart w:id="0" w:name="__RefHeading___Toc8141_788378315_Copia_1"/>
      <w:bookmarkStart w:id="1" w:name="_Toc135469229_Copia_1_Copia_2_Copia_1_Co"/>
      <w:bookmarkEnd w:id="0"/>
      <w:r>
        <w:rPr>
          <w:b/>
          <w:bCs/>
          <w:strike w:val="false"/>
          <w:dstrike w:val="false"/>
          <w:color w:val="000000"/>
          <w:kern w:val="0"/>
          <w:shd w:fill="auto" w:val="clear"/>
          <w:lang w:val="pt-BR" w:eastAsia="zh-CN" w:bidi="ar-SA"/>
        </w:rPr>
        <w:t xml:space="preserve">ANEXO II – MODELO DE PROPOSTA READEQUADA </w:t>
      </w:r>
      <w:bookmarkEnd w:id="1"/>
      <w:r>
        <w:rPr>
          <w:b/>
          <w:bCs/>
          <w:strike w:val="false"/>
          <w:dstrike w:val="false"/>
          <w:color w:val="000000"/>
          <w:kern w:val="0"/>
          <w:shd w:fill="auto" w:val="clear"/>
          <w:lang w:val="pt-BR" w:eastAsia="zh-CN" w:bidi="ar-SA"/>
        </w:rPr>
        <w:t xml:space="preserve"> </w:t>
      </w:r>
    </w:p>
    <w:p>
      <w:pPr>
        <w:pStyle w:val="Corpodotexto"/>
        <w:spacing w:before="0" w:after="0"/>
        <w:jc w:val="center"/>
        <w:rPr>
          <w:b/>
          <w:b/>
          <w:bCs/>
        </w:rPr>
      </w:pPr>
      <w:bookmarkStart w:id="2" w:name="__RefHeading___Toc121734_3103198398"/>
      <w:bookmarkEnd w:id="2"/>
      <w:r>
        <w:rPr>
          <w:b/>
          <w:bCs/>
        </w:rPr>
        <w:t>PROCESSO DE COMPRAS Nº 55/2025</w:t>
      </w:r>
    </w:p>
    <w:p>
      <w:pPr>
        <w:pStyle w:val="Corpodotexto"/>
        <w:spacing w:before="0" w:after="0"/>
        <w:jc w:val="center"/>
        <w:rPr>
          <w:b/>
          <w:b/>
          <w:bCs/>
        </w:rPr>
      </w:pPr>
      <w:bookmarkStart w:id="3" w:name="__RefHeading___Toc121736_3103198398"/>
      <w:bookmarkEnd w:id="3"/>
      <w:r>
        <w:rPr>
          <w:b/>
          <w:bCs/>
        </w:rPr>
        <w:t>PREGÃO ELETRÔNICO Nº 05/2025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rPr>
          <w:color w:val="FF0000"/>
          <w:highlight w:val="none"/>
          <w:shd w:fill="FFFF00" w:val="clear"/>
        </w:rPr>
      </w:pPr>
      <w:bookmarkStart w:id="4" w:name="__RefHeading___Toc121738_3103198398"/>
      <w:bookmarkEnd w:id="4"/>
      <w:r>
        <w:rPr>
          <w:color w:val="FF0000"/>
          <w:shd w:fill="FFFF00" w:val="clear"/>
        </w:rPr>
        <w:t>A apresentação desta Proposta será considerada como indicação bastante de que inexistem fatos que impeçam a participação do licitante neste certame.</w:t>
      </w:r>
    </w:p>
    <w:tbl>
      <w:tblPr>
        <w:tblW w:w="8503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443"/>
        <w:gridCol w:w="1448"/>
        <w:gridCol w:w="2898"/>
      </w:tblGrid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DADOS DO LICITANTE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Denominação: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Endereço:</w:t>
            </w:r>
          </w:p>
        </w:tc>
      </w:tr>
      <w:tr>
        <w:trPr/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CEP: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Fone: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b/>
                <w:b/>
                <w:bCs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E-mail: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CNPJ: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OBJETO</w:t>
            </w:r>
            <w:r>
              <w:rPr>
                <w:color w:val="000000"/>
                <w:sz w:val="24"/>
                <w:szCs w:val="24"/>
                <w:shd w:fill="auto" w:val="clear"/>
              </w:rPr>
              <w:t>: Contratação de empresa especializada na prestação de serviços contínuos de vigilância e segurança patrimonial desarmada.</w:t>
            </w:r>
          </w:p>
        </w:tc>
      </w:tr>
    </w:tbl>
    <w:p>
      <w:pPr>
        <w:pStyle w:val="Corpodotexto"/>
        <w:jc w:val="center"/>
        <w:rPr>
          <w:rFonts w:ascii="Calibri" w:hAnsi="Calibri" w:eastAsia="Times New Roman" w:cs="Arial"/>
          <w:b/>
          <w:b/>
          <w:bCs/>
          <w:strike w:val="false"/>
          <w:dstrike w:val="false"/>
          <w:color w:val="FF0000"/>
          <w:sz w:val="24"/>
          <w:szCs w:val="24"/>
          <w:highlight w:val="none"/>
          <w:u w:val="none"/>
          <w:shd w:fill="FFFF00" w:val="clear"/>
          <w:lang w:val="pt-BR" w:eastAsia="zh-CN" w:bidi="ar-SA"/>
        </w:rPr>
      </w:pPr>
      <w:r>
        <w:rPr>
          <w:rFonts w:eastAsia="Times New Roman" w:cs="Arial"/>
          <w:b/>
          <w:bCs/>
          <w:strike w:val="false"/>
          <w:dstrike w:val="false"/>
          <w:color w:val="FF0000"/>
          <w:sz w:val="24"/>
          <w:szCs w:val="24"/>
          <w:u w:val="none"/>
          <w:shd w:fill="FFFF00" w:val="clear"/>
          <w:lang w:val="pt-BR" w:eastAsia="zh-CN" w:bidi="ar-SA"/>
        </w:rPr>
      </w:r>
    </w:p>
    <w:p>
      <w:pPr>
        <w:pStyle w:val="Corpodotexto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À Câmara Municipal de Caçapava/SP </w:t>
      </w:r>
    </w:p>
    <w:p>
      <w:pPr>
        <w:pStyle w:val="Corpodotexto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CNPJ: </w:t>
      </w: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48.408.496/0001-63</w:t>
      </w:r>
    </w:p>
    <w:p>
      <w:pPr>
        <w:pStyle w:val="Corpodotexto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Apresentamos nossa proposta para o fornecimento e execução do objeto detalhado abaixo, pelo preço total de </w:t>
      </w: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R$___________ (_____________)</w:t>
      </w: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, nos termos do Edital e seus anexos.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8"/>
        <w:gridCol w:w="3272"/>
        <w:gridCol w:w="852"/>
        <w:gridCol w:w="1129"/>
        <w:gridCol w:w="1252"/>
        <w:gridCol w:w="1379"/>
      </w:tblGrid>
      <w:tr>
        <w:trPr/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ITEM</w:t>
            </w:r>
          </w:p>
        </w:tc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DESCRIÇÃO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Nº DE POSTOS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  <w:b/>
                <w:b/>
                <w:sz w:val="20"/>
                <w:szCs w:val="20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  <w:t>VALOR POSTO/MÊS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  <w:b/>
                <w:b/>
                <w:sz w:val="20"/>
                <w:szCs w:val="20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  <w:t>TOTAL MENSAL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  <w:b/>
                <w:b/>
                <w:sz w:val="20"/>
                <w:szCs w:val="20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  <w:t>TOTAL ANUAL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32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POSTO DESARMADO – 12 HORAS DIÁRIAS – NOTURNO – 2ª FEIRA A DOMINGO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32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POSTO DESARMADO – 44 HORAS SEMANAIS – DIURNO – 2ª A 6ª FEIRA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</w:tr>
      <w:tr>
        <w:trPr/>
        <w:tc>
          <w:tcPr>
            <w:tcW w:w="587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sz w:val="20"/>
                <w:szCs w:val="20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  <w:t>R$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sz w:val="20"/>
                <w:szCs w:val="20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  <w:t>R$</w:t>
            </w:r>
          </w:p>
        </w:tc>
      </w:tr>
    </w:tbl>
    <w:p>
      <w:pPr>
        <w:pStyle w:val="Normal"/>
        <w:rPr>
          <w:rFonts w:ascii="Calibri" w:hAnsi="Calibri" w:eastAsia="Times New Roman" w:cs="Arial"/>
          <w:b/>
          <w:b/>
          <w:bCs/>
          <w:strike w:val="false"/>
          <w:dstrike w:val="false"/>
          <w:color w:val="FF0000"/>
          <w:sz w:val="24"/>
          <w:szCs w:val="24"/>
          <w:highlight w:val="none"/>
          <w:u w:val="none"/>
          <w:shd w:fill="FFFF00" w:val="clear"/>
          <w:lang w:val="pt-BR" w:eastAsia="zh-CN" w:bidi="ar-SA"/>
        </w:rPr>
      </w:pPr>
      <w:r>
        <w:rPr>
          <w:rFonts w:eastAsia="Times New Roman" w:cs="Arial"/>
          <w:b/>
          <w:bCs/>
          <w:strike w:val="false"/>
          <w:dstrike w:val="false"/>
          <w:color w:val="FF0000"/>
          <w:sz w:val="24"/>
          <w:szCs w:val="24"/>
          <w:u w:val="none"/>
          <w:shd w:fill="FFFF00" w:val="clear"/>
          <w:lang w:val="pt-BR" w:eastAsia="zh-CN" w:bidi="ar-SA"/>
        </w:rPr>
      </w:r>
    </w:p>
    <w:p>
      <w:pPr>
        <w:pStyle w:val="Corpodotexto"/>
        <w:rPr>
          <w:color w:val="000000"/>
          <w:highlight w:val="none"/>
          <w:shd w:fill="auto" w:val="clear"/>
        </w:rPr>
      </w:pPr>
      <w:bookmarkStart w:id="5" w:name="__RefHeading___Toc248843_759882684"/>
      <w:bookmarkEnd w:id="5"/>
      <w:r>
        <w:rPr>
          <w:b/>
          <w:bCs/>
          <w:strike w:val="false"/>
          <w:dstrike w:val="false"/>
          <w:color w:val="000000"/>
          <w:u w:val="none"/>
          <w:shd w:fill="auto" w:val="clear"/>
        </w:rPr>
        <w:t>Prazo de validade da proposta:</w:t>
      </w:r>
      <w:r>
        <w:rPr>
          <w:strike w:val="false"/>
          <w:dstrike w:val="false"/>
          <w:color w:val="000000"/>
          <w:u w:val="none"/>
          <w:shd w:fill="auto" w:val="clear"/>
        </w:rPr>
        <w:t xml:space="preserve"> ______ dias (mínimo de 60 dias contados de sua apresentação)</w:t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Declaro, para os devidos fins, que:</w:t>
      </w:r>
    </w:p>
    <w:p>
      <w:pPr>
        <w:pStyle w:val="Corpodotexto"/>
        <w:rPr>
          <w:highlight w:val="none"/>
          <w:shd w:fill="FFFF00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1.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Que a proposta foi elaborada de forma independente, nos termos da </w:t>
      </w:r>
      <w:hyperlink r:id="rId4">
        <w:r>
          <w:rPr>
            <w:rStyle w:val="LinkdaInternet"/>
            <w:b w:val="false"/>
            <w:bCs w:val="false"/>
            <w:color w:val="000000"/>
            <w:sz w:val="24"/>
            <w:szCs w:val="24"/>
            <w:shd w:fill="auto" w:val="clear"/>
          </w:rPr>
          <w:t>Lei 14.133/2021</w:t>
        </w:r>
      </w:hyperlink>
      <w:r>
        <w:rPr>
          <w:b w:val="false"/>
          <w:bCs w:val="false"/>
          <w:color w:val="000000"/>
          <w:sz w:val="24"/>
          <w:szCs w:val="24"/>
          <w:shd w:fill="auto" w:val="clear"/>
        </w:rPr>
        <w:t>.</w:t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2.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Que para elaboração da presenta proposta foram considerados todos os custos diretos, indiretos, impostos, despesas de pessoal e insumos.</w:t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3.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No preço estão contidos todos 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>
      <w:pPr>
        <w:pStyle w:val="Corpodotexto"/>
        <w:rPr>
          <w:color w:val="000000"/>
          <w:highlight w:val="none"/>
          <w:shd w:fill="auto" w:val="clear"/>
        </w:rPr>
      </w:pPr>
      <w:bookmarkStart w:id="6" w:name="__RefHeading___Toc248841_759882684_Copia"/>
      <w:bookmarkEnd w:id="6"/>
      <w:r>
        <w:rPr>
          <w:b/>
          <w:bCs/>
          <w:strike w:val="false"/>
          <w:dstrike w:val="false"/>
          <w:color w:val="000000"/>
          <w:u w:val="none"/>
          <w:shd w:fill="auto" w:val="clear"/>
        </w:rPr>
        <w:t xml:space="preserve">4. </w:t>
      </w:r>
      <w:r>
        <w:rPr>
          <w:b w:val="false"/>
          <w:bCs w:val="false"/>
          <w:strike w:val="false"/>
          <w:dstrike w:val="false"/>
          <w:color w:val="000000"/>
          <w:u w:val="none"/>
          <w:shd w:fill="auto" w:val="clear"/>
        </w:rPr>
        <w:t>Quantidade de funcionários que executarão os serviços:</w:t>
      </w:r>
      <w:r>
        <w:rPr>
          <w:b/>
          <w:bCs/>
          <w:strike w:val="false"/>
          <w:dstrike w:val="false"/>
          <w:color w:val="000000"/>
          <w:u w:val="none"/>
          <w:shd w:fill="auto" w:val="clear"/>
        </w:rPr>
        <w:t xml:space="preserve"> </w:t>
      </w:r>
      <w:r>
        <w:rPr>
          <w:b w:val="false"/>
          <w:bCs w:val="false"/>
          <w:strike w:val="false"/>
          <w:dstrike w:val="false"/>
          <w:color w:val="000000"/>
          <w:u w:val="none"/>
          <w:shd w:fill="auto" w:val="clear"/>
        </w:rPr>
        <w:t>______</w:t>
      </w:r>
      <w:r>
        <w:rPr>
          <w:b/>
          <w:bCs/>
          <w:strike w:val="false"/>
          <w:dstrike w:val="false"/>
          <w:color w:val="000000"/>
          <w:u w:val="none"/>
          <w:shd w:fill="auto" w:val="clear"/>
        </w:rPr>
        <w:t xml:space="preserve"> </w:t>
      </w:r>
    </w:p>
    <w:tbl>
      <w:tblPr>
        <w:tblW w:w="850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18"/>
        <w:gridCol w:w="1746"/>
        <w:gridCol w:w="2100"/>
        <w:gridCol w:w="2038"/>
      </w:tblGrid>
      <w:tr>
        <w:trPr/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Categoria Profissional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Quantidade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Quantidade Total De Horas Por Mês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Entidade De Classe</w:t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</w:tbl>
    <w:p>
      <w:pPr>
        <w:pStyle w:val="Corpodotexto"/>
        <w:rPr>
          <w:color w:val="FF0000"/>
          <w:highlight w:val="none"/>
          <w:shd w:fill="FFFF00" w:val="clear"/>
        </w:rPr>
      </w:pPr>
      <w:r>
        <w:rPr>
          <w:i/>
          <w:iCs/>
          <w:color w:val="FF0000"/>
          <w:shd w:fill="FFFF00" w:val="clear"/>
        </w:rPr>
        <w:t>O licitante deverá apresentar, em anexo, cópia da carta ou registro sindical do sindicato a qual declara ser enquadrado, em razão do regramento do enquadramento sindical previsto na CLT ou por força de decisão judicial.</w:t>
      </w:r>
    </w:p>
    <w:p>
      <w:pPr>
        <w:pStyle w:val="Corpodotexto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Corpodotexto"/>
        <w:rPr>
          <w:color w:val="000000"/>
          <w:highlight w:val="none"/>
          <w:shd w:fill="auto" w:val="clear"/>
        </w:rPr>
      </w:pPr>
      <w:bookmarkStart w:id="7" w:name="__RefHeading___Toc248833_759882684"/>
      <w:bookmarkEnd w:id="7"/>
      <w:r>
        <w:rPr>
          <w:color w:val="000000"/>
          <w:shd w:fill="auto" w:val="clear"/>
        </w:rPr>
        <w:t>_______________,  ____ de ________________ de 2025.</w:t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rpodotexto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bookmarkStart w:id="8" w:name="__RefHeading___Toc248831_759882684"/>
      <w:bookmarkEnd w:id="8"/>
      <w:r>
        <w:rPr>
          <w:strike w:val="false"/>
          <w:dstrike w:val="false"/>
          <w:color w:val="000000"/>
          <w:u w:val="none"/>
          <w:shd w:fill="auto" w:val="clear"/>
        </w:rPr>
        <w:t>_______________________________________</w:t>
        <w:br/>
        <w:t>Assinatura do representante legal</w:t>
        <w:br/>
        <w:t>Nome</w:t>
      </w:r>
    </w:p>
    <w:p>
      <w:pPr>
        <w:pStyle w:val="Corpodotexto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bookmarkStart w:id="9" w:name="__RefHeading___Toc248829_759882684"/>
      <w:bookmarkEnd w:id="9"/>
      <w:r>
        <w:rPr>
          <w:color w:val="000000"/>
          <w:shd w:fill="auto" w:val="clear"/>
        </w:rPr>
        <w:t xml:space="preserve">RG </w:t>
      </w:r>
    </w:p>
    <w:p>
      <w:pPr>
        <w:pStyle w:val="Corpodotexto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bookmarkStart w:id="10" w:name="__RefHeading___Toc248845_759882684"/>
      <w:bookmarkEnd w:id="10"/>
      <w:r>
        <w:rPr>
          <w:color w:val="000000"/>
          <w:shd w:fill="auto" w:val="clear"/>
        </w:rPr>
        <w:t>CPF</w:t>
        <w:br/>
        <w:t>E-mail</w:t>
      </w:r>
      <w:r>
        <w:br w:type="page"/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highlight w:val="none"/>
          <w:shd w:fill="auto" w:val="clear"/>
        </w:rPr>
      </w:pPr>
      <w:bookmarkStart w:id="11" w:name="__RefHeading___Toc8141_788378315_Copia_1"/>
      <w:bookmarkStart w:id="12" w:name="_Toc135469229_Copia_1_Copia_2_Copia_1_Co"/>
      <w:bookmarkEnd w:id="11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ANEXO III – PLANILHA DE CUSTOS E FORMAÇÃO DE PREÇOS</w:t>
      </w:r>
      <w:bookmarkEnd w:id="12"/>
    </w:p>
    <w:p>
      <w:pPr>
        <w:pStyle w:val="Corpodotexto"/>
        <w:spacing w:before="0" w:after="0"/>
        <w:jc w:val="center"/>
        <w:rPr>
          <w:b/>
          <w:b/>
          <w:bCs/>
          <w:highlight w:val="none"/>
          <w:shd w:fill="FFFF00" w:val="clear"/>
        </w:rPr>
      </w:pPr>
      <w:r>
        <w:rPr>
          <w:b/>
          <w:bCs/>
          <w:shd w:fill="FFFF00" w:val="clear"/>
        </w:rPr>
      </w:r>
    </w:p>
    <w:p>
      <w:pPr>
        <w:pStyle w:val="Corpodotexto"/>
        <w:rPr>
          <w:color w:val="FF0000"/>
          <w:highlight w:val="none"/>
          <w:shd w:fill="FFFF00" w:val="clear"/>
        </w:rPr>
      </w:pPr>
      <w:bookmarkStart w:id="13" w:name="__RefHeading___Toc5759_999664542"/>
      <w:bookmarkEnd w:id="13"/>
      <w:r>
        <w:rPr>
          <w:b/>
          <w:bCs/>
          <w:color w:val="FF0000"/>
          <w:shd w:fill="FFFF00" w:val="clear"/>
        </w:rPr>
        <w:t xml:space="preserve">OBS: Deverá ser preenchida uma planilha de custos e formação de preços para cada tipo de profissional.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  <w:highlight w:val="none"/>
          <w:shd w:fill="FFFF00" w:val="clear"/>
        </w:rPr>
      </w:pPr>
      <w:r>
        <w:rPr>
          <w:b/>
          <w:bCs/>
          <w:shd w:fill="FFFF00" w:val="clear"/>
        </w:rPr>
      </w:r>
    </w:p>
    <w:tbl>
      <w:tblPr>
        <w:tblW w:w="85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6"/>
        <w:gridCol w:w="2843"/>
      </w:tblGrid>
      <w:tr>
        <w:trPr>
          <w:trHeight w:val="225" w:hRule="atLeast"/>
        </w:trPr>
        <w:tc>
          <w:tcPr>
            <w:tcW w:w="8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CUSTOS DO POSTO 44 HORAS SEMANAIS DIURNO DE SEG A SEX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Discriminação dos Custos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Desarmado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Remuneração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Salário-</w:t>
            </w:r>
            <w:r>
              <w:rPr>
                <w:spacing w:val="-4"/>
                <w:sz w:val="16"/>
                <w:szCs w:val="16"/>
                <w:shd w:fill="auto" w:val="clear"/>
              </w:rPr>
              <w:t>base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4"/>
                <w:sz w:val="16"/>
                <w:szCs w:val="16"/>
                <w:shd w:fill="auto" w:val="clear"/>
              </w:rPr>
              <w:t>Adicional de periculosidade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Benefícios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Mensais</w:t>
            </w:r>
            <w:r>
              <w:rPr>
                <w:b/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6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Diários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Vale-transporte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Vale-refeição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Cesta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básica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6"/>
                <w:sz w:val="16"/>
                <w:szCs w:val="16"/>
                <w:shd w:fill="auto" w:val="clear"/>
              </w:rPr>
              <w:t>Valor da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cesta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básica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Assistência</w:t>
            </w:r>
            <w:r>
              <w:rPr>
                <w:spacing w:val="-13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médica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e F</w:t>
            </w:r>
            <w:r>
              <w:rPr>
                <w:spacing w:val="-2"/>
                <w:sz w:val="16"/>
                <w:szCs w:val="16"/>
                <w:shd w:fill="auto" w:val="clear"/>
              </w:rPr>
              <w:t>amiliar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8"/>
                <w:sz w:val="16"/>
                <w:szCs w:val="16"/>
                <w:shd w:fill="auto" w:val="clear"/>
              </w:rPr>
              <w:t xml:space="preserve">Valor da </w:t>
            </w:r>
            <w:r>
              <w:rPr>
                <w:sz w:val="16"/>
                <w:szCs w:val="16"/>
                <w:shd w:fill="auto" w:val="clear"/>
              </w:rPr>
              <w:t>assistência</w:t>
            </w:r>
            <w:r>
              <w:rPr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médica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e </w:t>
            </w:r>
            <w:r>
              <w:rPr>
                <w:spacing w:val="-2"/>
                <w:sz w:val="16"/>
                <w:szCs w:val="16"/>
                <w:shd w:fill="auto" w:val="clear"/>
              </w:rPr>
              <w:t>familiar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Auxílio Funeral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Seguro de vida, invalidez e funeral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3" w:hRule="atLeast"/>
        </w:trPr>
        <w:tc>
          <w:tcPr>
            <w:tcW w:w="5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Norma</w:t>
            </w:r>
            <w:r>
              <w:rPr>
                <w:spacing w:val="1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Regulamentadora</w:t>
            </w:r>
            <w:r>
              <w:rPr>
                <w:spacing w:val="6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N.º</w:t>
            </w:r>
            <w:r>
              <w:rPr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5"/>
                <w:sz w:val="16"/>
                <w:szCs w:val="16"/>
                <w:shd w:fill="auto" w:val="clear"/>
              </w:rPr>
              <w:t>07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Insumos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Diversos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Uniforme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Equipamentos e complementos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Curso de Reciclagem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Encargos</w:t>
            </w:r>
            <w:r>
              <w:rPr>
                <w:b/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Sociais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Trabalhistas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Encargos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previdenciários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e</w:t>
            </w:r>
            <w:r>
              <w:rPr>
                <w:spacing w:val="-12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4"/>
                <w:sz w:val="16"/>
                <w:szCs w:val="16"/>
                <w:shd w:fill="auto" w:val="clear"/>
              </w:rPr>
              <w:t>FGTS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13º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Salário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+</w:t>
            </w:r>
            <w:r>
              <w:rPr>
                <w:spacing w:val="-4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Adicional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férias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Afastamento</w:t>
            </w:r>
            <w:r>
              <w:rPr>
                <w:spacing w:val="4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maternidade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reposição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profissional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ausente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306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rescisão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Outros*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pacing w:val="-2"/>
                <w:sz w:val="16"/>
                <w:szCs w:val="16"/>
                <w:shd w:fill="auto" w:val="clear"/>
              </w:rPr>
              <w:t>Cobertura do Intervalo de Repouso e Alimentação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Custos de reposição intervalo intrajornada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Custos</w:t>
            </w:r>
            <w:r>
              <w:rPr>
                <w:b/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Indiretos,</w:t>
            </w:r>
            <w:r>
              <w:rPr>
                <w:b/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Lucro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Tributos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Custos</w:t>
            </w:r>
            <w:r>
              <w:rPr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Indiretos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Lucro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Tributos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ISS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PIS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COFINS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Total do Posto/mês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Total do Posto/dia (20,68 dias efetivamente trabalhados no mês)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</w:tbl>
    <w:p>
      <w:pPr>
        <w:pStyle w:val="Corpodotexto"/>
        <w:rPr>
          <w:rFonts w:ascii="Calibri" w:hAnsi="Calibri"/>
          <w:sz w:val="16"/>
          <w:szCs w:val="16"/>
          <w:highlight w:val="none"/>
          <w:shd w:fill="FFFF00" w:val="clear"/>
        </w:rPr>
      </w:pPr>
      <w:hyperlink r:id="rId5">
        <w:bookmarkStart w:id="14" w:name="__RefHeading___Toc113717_3103198398_Copi"/>
        <w:bookmarkEnd w:id="14"/>
        <w:r>
          <w:rPr>
            <w:rStyle w:val="LinkdaInternet"/>
            <w:sz w:val="18"/>
            <w:szCs w:val="18"/>
            <w:shd w:fill="auto" w:val="clear"/>
          </w:rPr>
          <w:t>Fonte: Prestação de Serviços de Vigilância e Segurança Patrimonial – Vol. 01 – Jan./2024.</w:t>
        </w:r>
      </w:hyperlink>
    </w:p>
    <w:p>
      <w:pPr>
        <w:pStyle w:val="Corpodotexto"/>
        <w:rPr>
          <w:rStyle w:val="LinkdaInternet"/>
          <w:sz w:val="18"/>
          <w:szCs w:val="18"/>
          <w:shd w:fill="auto" w:val="clear"/>
        </w:rPr>
      </w:pPr>
      <w:r>
        <w:rPr>
          <w:sz w:val="18"/>
          <w:szCs w:val="18"/>
          <w:shd w:fill="auto" w:val="clear"/>
        </w:rPr>
      </w:r>
    </w:p>
    <w:tbl>
      <w:tblPr>
        <w:tblW w:w="85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6"/>
        <w:gridCol w:w="2843"/>
      </w:tblGrid>
      <w:tr>
        <w:trPr>
          <w:trHeight w:val="225" w:hRule="atLeast"/>
        </w:trPr>
        <w:tc>
          <w:tcPr>
            <w:tcW w:w="8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CUSTOS DO POSTO 12 HORAS DIÁRIAS NOTURNO DE SEG A DOM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Discriminação dos Custos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Desarmado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Composição da Remuneração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Salário-</w:t>
            </w:r>
            <w:r>
              <w:rPr>
                <w:spacing w:val="-4"/>
                <w:sz w:val="16"/>
                <w:szCs w:val="16"/>
                <w:shd w:fill="auto" w:val="clear"/>
              </w:rPr>
              <w:t>base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4"/>
                <w:sz w:val="16"/>
                <w:szCs w:val="16"/>
                <w:shd w:fill="auto" w:val="clear"/>
              </w:rPr>
              <w:t>Adicional de periculosidade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4"/>
                <w:sz w:val="16"/>
                <w:szCs w:val="16"/>
                <w:shd w:fill="auto" w:val="clear"/>
              </w:rPr>
              <w:t>Adicional noturno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4"/>
                <w:sz w:val="16"/>
                <w:szCs w:val="16"/>
                <w:shd w:fill="auto" w:val="clear"/>
              </w:rPr>
              <w:t>Hora noturna adicional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Benefícios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Mensais</w:t>
            </w:r>
            <w:r>
              <w:rPr>
                <w:b/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6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Diários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Vale-transporte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Vale-refeição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Cesta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básica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6"/>
                <w:sz w:val="16"/>
                <w:szCs w:val="16"/>
                <w:shd w:fill="auto" w:val="clear"/>
              </w:rPr>
              <w:t>Valor da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cesta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básica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Assistência</w:t>
            </w:r>
            <w:r>
              <w:rPr>
                <w:spacing w:val="-13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médica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e F</w:t>
            </w:r>
            <w:r>
              <w:rPr>
                <w:spacing w:val="-2"/>
                <w:sz w:val="16"/>
                <w:szCs w:val="16"/>
                <w:shd w:fill="auto" w:val="clear"/>
              </w:rPr>
              <w:t>amiliar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8"/>
                <w:sz w:val="16"/>
                <w:szCs w:val="16"/>
                <w:shd w:fill="auto" w:val="clear"/>
              </w:rPr>
              <w:t xml:space="preserve">Valor da </w:t>
            </w:r>
            <w:r>
              <w:rPr>
                <w:sz w:val="16"/>
                <w:szCs w:val="16"/>
                <w:shd w:fill="auto" w:val="clear"/>
              </w:rPr>
              <w:t>assistência</w:t>
            </w:r>
            <w:r>
              <w:rPr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médica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e </w:t>
            </w:r>
            <w:r>
              <w:rPr>
                <w:spacing w:val="-2"/>
                <w:sz w:val="16"/>
                <w:szCs w:val="16"/>
                <w:shd w:fill="auto" w:val="clear"/>
              </w:rPr>
              <w:t>familiar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Auxílio Funeral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Seguro de vida, invalidez e funeral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3" w:hRule="atLeast"/>
        </w:trPr>
        <w:tc>
          <w:tcPr>
            <w:tcW w:w="5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Norma</w:t>
            </w:r>
            <w:r>
              <w:rPr>
                <w:spacing w:val="1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Regulamentadora</w:t>
            </w:r>
            <w:r>
              <w:rPr>
                <w:spacing w:val="6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N.º</w:t>
            </w:r>
            <w:r>
              <w:rPr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5"/>
                <w:sz w:val="16"/>
                <w:szCs w:val="16"/>
                <w:shd w:fill="auto" w:val="clear"/>
              </w:rPr>
              <w:t>07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Insumos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Diversos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Uniforme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Equipamentos e complementos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Curso de Reciclagem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Encargos</w:t>
            </w:r>
            <w:r>
              <w:rPr>
                <w:b/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Sociais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Trabalhistas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Encargos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previdenciários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e</w:t>
            </w:r>
            <w:r>
              <w:rPr>
                <w:spacing w:val="-12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4"/>
                <w:sz w:val="16"/>
                <w:szCs w:val="16"/>
                <w:shd w:fill="auto" w:val="clear"/>
              </w:rPr>
              <w:t>FGTS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13º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Salário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+</w:t>
            </w:r>
            <w:r>
              <w:rPr>
                <w:spacing w:val="-4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Adicional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férias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Afastamento</w:t>
            </w:r>
            <w:r>
              <w:rPr>
                <w:spacing w:val="4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maternidade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reposição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profissional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ausente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306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rescisão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Outros*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pacing w:val="-2"/>
                <w:sz w:val="16"/>
                <w:szCs w:val="16"/>
                <w:shd w:fill="auto" w:val="clear"/>
              </w:rPr>
              <w:t>Cobertura do Intervalo de Repouso e Alimentação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Custos de reposição intervalo intrajornada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Custos</w:t>
            </w:r>
            <w:r>
              <w:rPr>
                <w:b/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Indiretos,</w:t>
            </w:r>
            <w:r>
              <w:rPr>
                <w:b/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Lucro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Tributos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Custos</w:t>
            </w:r>
            <w:r>
              <w:rPr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Indiretos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Lucro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Tributos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ISS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PIS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COFINS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Total do Posto/mês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Total do Posto/dia (30,44 dias efetivamente trabalhados no mês)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</w:tbl>
    <w:p>
      <w:pPr>
        <w:pStyle w:val="Corpodotexto"/>
        <w:spacing w:before="0" w:after="120"/>
        <w:rPr>
          <w:rFonts w:ascii="Calibri" w:hAnsi="Calibri"/>
          <w:sz w:val="16"/>
          <w:szCs w:val="16"/>
          <w:highlight w:val="none"/>
          <w:shd w:fill="FFFF00" w:val="clear"/>
        </w:rPr>
      </w:pPr>
      <w:hyperlink r:id="rId6">
        <w:bookmarkStart w:id="15" w:name="__RefHeading___Toc113717_3103198398_Copi"/>
        <w:bookmarkEnd w:id="15"/>
        <w:r>
          <w:rPr>
            <w:rStyle w:val="LinkdaInternet"/>
            <w:sz w:val="18"/>
            <w:szCs w:val="18"/>
            <w:shd w:fill="auto" w:val="clear"/>
          </w:rPr>
          <w:t>Fonte: Prestação de Serviços de Vigilância e Segurança Patrimonial – Vol. 01 – Jan./2024.</w:t>
        </w:r>
      </w:hyperlink>
    </w:p>
    <w:sectPr>
      <w:headerReference w:type="default" r:id="rId7"/>
      <w:footerReference w:type="default" r:id="rId8"/>
      <w:type w:val="nextPage"/>
      <w:pgSz w:w="11906" w:h="16838"/>
      <w:pgMar w:left="1701" w:right="1702" w:gutter="0" w:header="1134" w:top="2325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Anexos II e III - </w:t>
    </w:r>
    <w:r>
      <w:rPr>
        <w:sz w:val="20"/>
        <w:szCs w:val="20"/>
        <w:lang w:eastAsia="pt-BR"/>
      </w:rPr>
      <w:t>Edital nº 05/2025 – Pregão Eletrônico nº 05/2025 – Processo de Compras nº 55/2025</w:t>
      <w:br/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4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5</w:t>
    </w:r>
    <w:r>
      <w:rPr>
        <w:sz w:val="20"/>
        <w:szCs w:val="20"/>
        <w:lang w:eastAsia="pt-BR"/>
      </w:rPr>
      <w:fldChar w:fldCharType="end"/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Praça da Bandeira, nº 151 – Centro – Caçapava – SP / </w:t>
    </w:r>
    <w:r>
      <w:rPr>
        <w:sz w:val="20"/>
        <w:szCs w:val="20"/>
        <w:lang w:val="en-US" w:eastAsia="pt-BR"/>
      </w:rPr>
      <w:t>CEP: 12.281-630 / Tel. (12) 3654-2000</w:t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val="en-US" w:eastAsia="pt-BR"/>
      </w:rPr>
    </w:pPr>
    <w:r>
      <w:rPr>
        <w:sz w:val="20"/>
        <w:szCs w:val="20"/>
        <w:lang w:val="en-US" w:eastAsia="pt-BR"/>
      </w:rPr>
      <w:t xml:space="preserve"> </w:t>
    </w:r>
    <w:hyperlink r:id="rId1">
      <w:r>
        <w:rPr>
          <w:rStyle w:val="LinkdaInternet"/>
          <w:sz w:val="20"/>
          <w:szCs w:val="20"/>
          <w:lang w:val="en-US" w:eastAsia="pt-BR"/>
        </w:rPr>
        <w:t>licitacoes@camaracacapava.sp.gov.br</w:t>
      </w:r>
    </w:hyperlink>
    <w:r>
      <w:rPr>
        <w:sz w:val="20"/>
        <w:szCs w:val="20"/>
        <w:lang w:val="en-US" w:eastAsia="pt-BR"/>
      </w:rPr>
      <w:t xml:space="preserve"> / </w:t>
    </w:r>
    <w:hyperlink r:id="rId2">
      <w:r>
        <w:rPr>
          <w:rStyle w:val="LinkdaInternet"/>
          <w:sz w:val="20"/>
          <w:szCs w:val="20"/>
          <w:lang w:val="en-US" w:eastAsia="pt-BR"/>
        </w:rPr>
        <w:t>www.camaracacapava.sp.gov.br</w:t>
      </w:r>
    </w:hyperlink>
    <w:r>
      <w:rPr>
        <w:sz w:val="20"/>
        <w:szCs w:val="20"/>
        <w:lang w:val="en-US" w:eastAsia="pt-B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cs="Calibri"/>
        <w:lang w:eastAsia="pt-BR"/>
      </w:rPr>
    </w:pPr>
    <w:r>
      <w:rPr>
        <w:rFonts w:cs="Calibri"/>
        <w:lang w:eastAsia="pt-BR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tru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hyperlink" Target="https://compras.sp.gov.br/wp-content/uploads/2024/10/P01_Estudo_SEM_Marcas_Revisao_Vol01_RO04.pdf" TargetMode="External"/><Relationship Id="rId6" Type="http://schemas.openxmlformats.org/officeDocument/2006/relationships/hyperlink" Target="https://compras.sp.gov.br/wp-content/uploads/2024/10/P01_Estudo_SEM_Marcas_Revisao_Vol01_RO04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icitacoes@camaracacapava.sp.gov.br" TargetMode="External"/><Relationship Id="rId2" Type="http://schemas.openxmlformats.org/officeDocument/2006/relationships/hyperlink" Target="http://www.camaracacapava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7037</TotalTime>
  <Application>LibreOffice/7.4.7.2$Windows_X86_64 LibreOffice_project/723314e595e8007d3cf785c16538505a1c878ca5</Application>
  <AppVersion>15.0000</AppVersion>
  <Pages>6</Pages>
  <Words>776</Words>
  <Characters>4305</Characters>
  <CharactersWithSpaces>4875</CharactersWithSpaces>
  <Paragraphs>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2025-07-14T16:00:33Z</dcterms:modified>
  <cp:revision>155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